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Amiri" w:hAnsi="Amiri"/>
          <w:b/>
          <w:sz w:val="32"/>
          <w:u w:val="dotted"/>
          <w:lang w:val="fr-FR"/>
        </w:rPr>
      </w:pPr>
      <w:r>
        <w:rPr>
          <w:rFonts w:ascii="Amiri" w:hAnsi="Amiri"/>
          <w:b/>
          <w:sz w:val="32"/>
          <w:u w:val="dotted"/>
          <w:lang w:val="fr-FR"/>
        </w:rPr>
        <w:t>MARCHE PUBLIC DE SERVICES</w:t>
      </w:r>
    </w:p>
    <w:p>
      <w:pPr>
        <w:pStyle w:val="Normal"/>
        <w:bidi w:val="0"/>
        <w:jc w:val="center"/>
        <w:rPr>
          <w:rFonts w:ascii="Amiri" w:hAnsi="Amiri"/>
          <w:b/>
          <w:sz w:val="20"/>
          <w:szCs w:val="20"/>
          <w:u w:val="none"/>
          <w:lang w:val="fr-FR"/>
        </w:rPr>
      </w:pPr>
      <w:r>
        <w:rPr>
          <w:rFonts w:ascii="Amiri" w:hAnsi="Amiri"/>
          <w:b/>
          <w:sz w:val="20"/>
          <w:szCs w:val="20"/>
          <w:u w:val="none"/>
          <w:lang w:val="fr-FR"/>
        </w:rPr>
      </w:r>
    </w:p>
    <w:p>
      <w:pPr>
        <w:pStyle w:val="Normal"/>
        <w:bidi w:val="0"/>
        <w:jc w:val="center"/>
        <w:rPr>
          <w:rFonts w:ascii="Cambria" w:hAnsi="Cambria"/>
          <w:b/>
          <w:color w:val="000000"/>
          <w:sz w:val="26"/>
          <w:szCs w:val="26"/>
          <w:u w:val="single"/>
          <w:lang w:val="fr-FR"/>
        </w:rPr>
      </w:pPr>
      <w:r>
        <w:rPr>
          <w:rFonts w:ascii="Cambria" w:hAnsi="Cambria"/>
          <w:b/>
          <w:color w:val="000000"/>
          <w:sz w:val="26"/>
          <w:szCs w:val="26"/>
          <w:u w:val="single"/>
          <w:lang w:val="fr-FR"/>
        </w:rPr>
        <w:t>DECOMPOSITION DU PRIX GLOBAL FORFAITAIRE   (DPGF)</w:t>
      </w:r>
    </w:p>
    <w:p>
      <w:pPr>
        <w:pStyle w:val="Normal"/>
        <w:bidi w:val="0"/>
        <w:jc w:val="start"/>
        <w:rPr>
          <w:b/>
          <w:bCs w:val="false"/>
          <w:sz w:val="22"/>
          <w:szCs w:val="22"/>
          <w:u w:val="none"/>
          <w:lang w:val="fr-FR"/>
        </w:rPr>
      </w:pPr>
      <w:r>
        <w:rPr>
          <w:b/>
          <w:bCs w:val="false"/>
          <w:sz w:val="22"/>
          <w:szCs w:val="22"/>
          <w:u w:val="none"/>
          <w:lang w:val="fr-FR"/>
        </w:rPr>
      </w:r>
    </w:p>
    <w:p>
      <w:pPr>
        <w:pStyle w:val="Normal"/>
        <w:bidi w:val="0"/>
        <w:jc w:val="center"/>
        <w:rPr>
          <w:b/>
          <w:bCs w:val="false"/>
          <w:i/>
          <w:iCs/>
          <w:sz w:val="26"/>
          <w:szCs w:val="26"/>
          <w:u w:val="single"/>
          <w:lang w:val="fr-FR"/>
        </w:rPr>
      </w:pPr>
      <w:r>
        <w:rPr>
          <w:b/>
          <w:bCs w:val="false"/>
          <w:i/>
          <w:iCs/>
          <w:sz w:val="26"/>
          <w:szCs w:val="26"/>
          <w:u w:val="single"/>
          <w:lang w:val="fr-FR"/>
        </w:rPr>
        <w:t>Pouvoir Adjudicateur (PA)</w:t>
      </w:r>
    </w:p>
    <w:p>
      <w:pPr>
        <w:pStyle w:val="Normal"/>
        <w:bidi w:val="0"/>
        <w:jc w:val="start"/>
        <w:rPr>
          <w:b/>
          <w:bCs w:val="false"/>
          <w:sz w:val="22"/>
          <w:szCs w:val="22"/>
          <w:u w:val="single"/>
          <w:lang w:val="fr-FR"/>
        </w:rPr>
      </w:pPr>
      <w:r>
        <w:rPr>
          <w:b/>
          <w:bCs w:val="false"/>
          <w:sz w:val="22"/>
          <w:szCs w:val="22"/>
          <w:u w:val="single"/>
          <w:lang w:val="fr-FR"/>
        </w:rPr>
      </w:r>
    </w:p>
    <w:p>
      <w:pPr>
        <w:pStyle w:val="Normal"/>
        <w:bidi w:val="0"/>
        <w:ind w:hanging="0" w:start="0" w:end="0"/>
        <w:jc w:val="center"/>
        <w:rPr>
          <w:b w:val="false"/>
          <w:bCs w:val="false"/>
          <w:sz w:val="22"/>
          <w:szCs w:val="22"/>
          <w:u w:val="none"/>
          <w:lang w:val="fr-FR"/>
        </w:rPr>
      </w:pPr>
      <w:bookmarkStart w:id="0" w:name="AA_7_a1"/>
      <w:r>
        <w:rPr>
          <w:b w:val="false"/>
          <w:bCs w:val="false"/>
          <w:sz w:val="22"/>
          <w:szCs w:val="22"/>
          <w:u w:val="none"/>
          <w:lang w:val="fr-FR"/>
        </w:rPr>
        <w:t>Direction de l'</w:t>
      </w:r>
      <w:r>
        <w:rPr>
          <w:b w:val="false"/>
          <w:bCs w:val="false"/>
          <w:sz w:val="22"/>
          <w:szCs w:val="22"/>
          <w:u w:val="none"/>
          <w:lang w:val="fr-FR"/>
        </w:rPr>
        <w:t>e</w:t>
      </w:r>
      <w:r>
        <w:rPr>
          <w:b w:val="false"/>
          <w:bCs w:val="false"/>
          <w:sz w:val="22"/>
          <w:szCs w:val="22"/>
          <w:u w:val="none"/>
          <w:lang w:val="fr-FR"/>
        </w:rPr>
        <w:t>nvironnement de l'</w:t>
      </w:r>
      <w:r>
        <w:rPr>
          <w:b w:val="false"/>
          <w:bCs w:val="false"/>
          <w:sz w:val="22"/>
          <w:szCs w:val="22"/>
          <w:u w:val="none"/>
          <w:lang w:val="fr-FR"/>
        </w:rPr>
        <w:t>a</w:t>
      </w:r>
      <w:r>
        <w:rPr>
          <w:b w:val="false"/>
          <w:bCs w:val="false"/>
          <w:sz w:val="22"/>
          <w:szCs w:val="22"/>
          <w:u w:val="none"/>
          <w:lang w:val="fr-FR"/>
        </w:rPr>
        <w:t xml:space="preserve">ménagement et du </w:t>
      </w:r>
      <w:r>
        <w:rPr>
          <w:b w:val="false"/>
          <w:bCs w:val="false"/>
          <w:sz w:val="22"/>
          <w:szCs w:val="22"/>
          <w:u w:val="none"/>
          <w:lang w:val="fr-FR"/>
        </w:rPr>
        <w:t>l</w:t>
      </w:r>
      <w:r>
        <w:rPr>
          <w:b w:val="false"/>
          <w:bCs w:val="false"/>
          <w:sz w:val="22"/>
          <w:szCs w:val="22"/>
          <w:u w:val="none"/>
          <w:lang w:val="fr-FR"/>
        </w:rPr>
        <w:t>ogement</w:t>
      </w:r>
      <w:bookmarkEnd w:id="0"/>
      <w:r>
        <w:rPr>
          <w:b w:val="false"/>
          <w:bCs w:val="false"/>
          <w:sz w:val="22"/>
          <w:szCs w:val="22"/>
          <w:u w:val="none"/>
          <w:lang w:val="fr-FR"/>
        </w:rPr>
        <w:t xml:space="preserve"> de La Réunion (DEAL)</w:t>
      </w:r>
    </w:p>
    <w:p>
      <w:pPr>
        <w:pStyle w:val="Normal"/>
        <w:bidi w:val="0"/>
        <w:jc w:val="start"/>
        <w:rPr>
          <w:b/>
          <w:bCs w:val="false"/>
          <w:sz w:val="22"/>
          <w:szCs w:val="22"/>
          <w:u w:val="single"/>
          <w:lang w:val="fr-FR"/>
        </w:rPr>
      </w:pPr>
      <w:r>
        <w:rPr>
          <w:b/>
          <w:bCs w:val="false"/>
          <w:sz w:val="22"/>
          <w:szCs w:val="22"/>
          <w:u w:val="single"/>
          <w:lang w:val="fr-FR"/>
        </w:rPr>
      </w:r>
    </w:p>
    <w:p>
      <w:pPr>
        <w:pStyle w:val="Normal"/>
        <w:bidi w:val="0"/>
        <w:jc w:val="center"/>
        <w:rPr>
          <w:b/>
          <w:bCs w:val="false"/>
          <w:i/>
          <w:iCs/>
          <w:sz w:val="26"/>
          <w:szCs w:val="26"/>
          <w:u w:val="single"/>
          <w:lang w:val="fr-FR"/>
        </w:rPr>
      </w:pPr>
      <w:r>
        <w:rPr>
          <w:b/>
          <w:bCs w:val="false"/>
          <w:i/>
          <w:iCs/>
          <w:sz w:val="26"/>
          <w:szCs w:val="26"/>
          <w:u w:val="single"/>
          <w:lang w:val="fr-FR"/>
        </w:rPr>
        <w:t>Personne responsable du marché, représentant du Pouvoir Adjudicateur (RPA)</w:t>
      </w:r>
    </w:p>
    <w:p>
      <w:pPr>
        <w:pStyle w:val="Normal"/>
        <w:bidi w:val="0"/>
        <w:jc w:val="center"/>
        <w:rPr>
          <w:b/>
          <w:bCs w:val="false"/>
          <w:i/>
          <w:iCs/>
          <w:sz w:val="26"/>
          <w:szCs w:val="26"/>
          <w:u w:val="single"/>
          <w:lang w:val="fr-FR"/>
        </w:rPr>
      </w:pPr>
      <w:r>
        <w:rPr>
          <w:b/>
          <w:bCs w:val="false"/>
          <w:i/>
          <w:iCs/>
          <w:sz w:val="26"/>
          <w:szCs w:val="26"/>
          <w:u w:val="single"/>
          <w:lang w:val="fr-FR"/>
        </w:rPr>
      </w:r>
    </w:p>
    <w:p>
      <w:pPr>
        <w:pStyle w:val="Normal"/>
        <w:bidi w:val="0"/>
        <w:ind w:hanging="0" w:start="0" w:end="0"/>
        <w:jc w:val="center"/>
        <w:rPr>
          <w:b w:val="false"/>
          <w:bCs w:val="false"/>
          <w:i w:val="false"/>
          <w:iCs w:val="false"/>
          <w:sz w:val="22"/>
          <w:szCs w:val="22"/>
          <w:u w:val="none"/>
          <w:lang w:val="fr-FR"/>
        </w:rPr>
      </w:pPr>
      <w:r>
        <w:rPr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 xml:space="preserve">M. </w:t>
      </w:r>
      <w:r>
        <w:rPr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>Eric BATAILLER</w:t>
      </w:r>
      <w:bookmarkStart w:id="1" w:name="AA_7_b"/>
      <w:r>
        <w:rPr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>, Directeur de la DEA</w:t>
      </w:r>
      <w:bookmarkEnd w:id="1"/>
      <w:r>
        <w:rPr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>L</w:t>
      </w:r>
    </w:p>
    <w:p>
      <w:pPr>
        <w:pStyle w:val="Normal"/>
        <w:bidi w:val="0"/>
        <w:jc w:val="center"/>
        <w:rPr>
          <w:b/>
          <w:bCs w:val="false"/>
          <w:i/>
          <w:iCs/>
          <w:sz w:val="22"/>
          <w:szCs w:val="22"/>
          <w:u w:val="none"/>
          <w:lang w:val="fr-FR"/>
        </w:rPr>
      </w:pPr>
      <w:r>
        <w:rPr>
          <w:b/>
          <w:bCs w:val="false"/>
          <w:i/>
          <w:iCs/>
          <w:sz w:val="22"/>
          <w:szCs w:val="22"/>
          <w:u w:val="none"/>
          <w:lang w:val="fr-FR"/>
        </w:rPr>
      </w:r>
    </w:p>
    <w:p>
      <w:pPr>
        <w:pStyle w:val="Normal"/>
        <w:bidi w:val="0"/>
        <w:jc w:val="center"/>
        <w:rPr>
          <w:b/>
          <w:bCs w:val="false"/>
          <w:sz w:val="22"/>
          <w:szCs w:val="22"/>
          <w:u w:val="single"/>
          <w:lang w:val="fr-FR"/>
        </w:rPr>
      </w:pPr>
      <w:r>
        <w:rPr>
          <w:b/>
          <w:bCs w:val="false"/>
          <w:sz w:val="22"/>
          <w:szCs w:val="22"/>
          <w:u w:val="single"/>
          <w:lang w:val="fr-FR"/>
        </w:rPr>
      </w:r>
    </w:p>
    <w:p>
      <w:pPr>
        <w:pStyle w:val="Normal"/>
        <w:keepNext w:val="true"/>
        <w:bidi w:val="0"/>
        <w:spacing w:before="120" w:after="0"/>
        <w:jc w:val="start"/>
        <w:rPr>
          <w:b/>
          <w:sz w:val="22"/>
          <w:szCs w:val="22"/>
          <w:u w:val="single"/>
          <w:lang w:val="fr-FR"/>
        </w:rPr>
      </w:pPr>
      <w:r>
        <w:rPr>
          <w:b/>
          <w:sz w:val="22"/>
          <w:szCs w:val="22"/>
          <w:u w:val="single"/>
          <w:lang w:val="fr-FR"/>
        </w:rPr>
        <w:t>Nom et adresse officiels de l'organisme acheteur</w:t>
      </w:r>
      <w:r>
        <w:rPr>
          <w:b/>
          <w:sz w:val="22"/>
          <w:szCs w:val="22"/>
          <w:u w:val="none"/>
          <w:lang w:val="fr-FR"/>
        </w:rPr>
        <w:t> :</w:t>
      </w:r>
    </w:p>
    <w:p>
      <w:pPr>
        <w:pStyle w:val="Normal"/>
        <w:bidi w:val="0"/>
        <w:spacing w:before="120" w:after="0"/>
        <w:jc w:val="start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Adresse : </w:t>
      </w:r>
      <w:bookmarkStart w:id="2" w:name="AA_7_c1"/>
      <w:r>
        <w:rPr>
          <w:sz w:val="22"/>
          <w:szCs w:val="22"/>
          <w:lang w:val="fr-FR"/>
        </w:rPr>
        <w:t>2, rue Juliette Dodu - CS 41009</w:t>
      </w:r>
      <w:bookmarkEnd w:id="2"/>
      <w:r>
        <w:rPr>
          <w:sz w:val="22"/>
          <w:szCs w:val="22"/>
          <w:lang w:val="fr-FR"/>
        </w:rPr>
        <w:t xml:space="preserve">, </w:t>
      </w:r>
      <w:bookmarkStart w:id="3" w:name="AA_7_d1"/>
      <w:r>
        <w:rPr>
          <w:sz w:val="22"/>
          <w:szCs w:val="22"/>
          <w:lang w:val="fr-FR"/>
        </w:rPr>
        <w:t>97743</w:t>
      </w:r>
      <w:bookmarkEnd w:id="3"/>
      <w:r>
        <w:rPr>
          <w:sz w:val="22"/>
          <w:szCs w:val="22"/>
          <w:lang w:val="fr-FR"/>
        </w:rPr>
        <w:t xml:space="preserve">, </w:t>
      </w:r>
      <w:bookmarkStart w:id="4" w:name="AA_7_e1"/>
      <w:r>
        <w:rPr>
          <w:sz w:val="22"/>
          <w:szCs w:val="22"/>
          <w:lang w:val="fr-FR"/>
        </w:rPr>
        <w:t>SAINT-DENIS CEDEX 9</w:t>
      </w:r>
      <w:bookmarkEnd w:id="4"/>
    </w:p>
    <w:p>
      <w:pPr>
        <w:pStyle w:val="Normal"/>
        <w:tabs>
          <w:tab w:val="clear" w:pos="709"/>
          <w:tab w:val="left" w:pos="2410" w:leader="none"/>
        </w:tabs>
        <w:bidi w:val="0"/>
        <w:jc w:val="start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Adresse Internet : </w:t>
      </w:r>
      <w:bookmarkStart w:id="5" w:name="AA_7_i1"/>
      <w:r>
        <w:rPr>
          <w:sz w:val="22"/>
          <w:szCs w:val="22"/>
          <w:lang w:val="fr-FR"/>
        </w:rPr>
        <w:t>http://www.reunion.developpement-durable.gouv.fr</w:t>
      </w:r>
      <w:bookmarkEnd w:id="5"/>
    </w:p>
    <w:p>
      <w:pPr>
        <w:pStyle w:val="Normal"/>
        <w:bidi w:val="0"/>
        <w:jc w:val="start"/>
        <w:rPr>
          <w:b w:val="false"/>
          <w:bCs w:val="false"/>
          <w:sz w:val="22"/>
          <w:szCs w:val="22"/>
          <w:lang w:val="fr-FR"/>
        </w:rPr>
      </w:pPr>
      <w:r>
        <w:rPr>
          <w:b w:val="false"/>
          <w:bCs w:val="false"/>
          <w:sz w:val="22"/>
          <w:szCs w:val="22"/>
          <w:lang w:val="fr-FR"/>
        </w:rPr>
        <w:t xml:space="preserve">Adresse du profil d'acheteur : </w:t>
      </w:r>
      <w:bookmarkStart w:id="6" w:name="AA_7_j1"/>
      <w:r>
        <w:rPr>
          <w:b w:val="false"/>
          <w:bCs w:val="false"/>
          <w:sz w:val="22"/>
          <w:szCs w:val="22"/>
          <w:lang w:val="fr-FR"/>
        </w:rPr>
        <w:t>http://www.marches-publics.gouv.fr</w:t>
      </w:r>
      <w:bookmarkEnd w:id="6"/>
      <w:r>
        <w:rPr>
          <w:b w:val="false"/>
          <w:bCs w:val="false"/>
          <w:sz w:val="22"/>
          <w:szCs w:val="22"/>
          <w:lang w:val="fr-FR"/>
        </w:rPr>
        <w:t xml:space="preserve"> </w:t>
      </w:r>
    </w:p>
    <w:p>
      <w:pPr>
        <w:pStyle w:val="Normal"/>
        <w:bidi w:val="0"/>
        <w:snapToGrid w:val="false"/>
        <w:jc w:val="start"/>
        <w:rPr>
          <w:b w:val="false"/>
          <w:bCs w:val="false"/>
          <w:sz w:val="22"/>
          <w:szCs w:val="22"/>
          <w:lang w:val="fr-FR"/>
        </w:rPr>
      </w:pPr>
      <w:r>
        <w:rPr>
          <w:b w:val="false"/>
          <w:bCs w:val="false"/>
          <w:sz w:val="22"/>
          <w:szCs w:val="22"/>
          <w:lang w:val="fr-FR"/>
        </w:rPr>
        <w:t xml:space="preserve"> </w:t>
      </w:r>
    </w:p>
    <w:p>
      <w:pPr>
        <w:pStyle w:val="Normal"/>
        <w:bidi w:val="0"/>
        <w:snapToGrid w:val="false"/>
        <w:spacing w:before="0" w:after="0"/>
        <w:ind w:hanging="0" w:start="0" w:end="0"/>
        <w:jc w:val="both"/>
        <w:rPr>
          <w:b/>
          <w:bCs/>
          <w:sz w:val="22"/>
          <w:szCs w:val="22"/>
          <w:u w:val="single"/>
          <w:lang w:val="fr-FR"/>
        </w:rPr>
      </w:pPr>
      <w:r>
        <w:rPr>
          <w:b/>
          <w:bCs/>
          <w:sz w:val="22"/>
          <w:szCs w:val="22"/>
          <w:u w:val="single"/>
          <w:lang w:val="fr-FR"/>
        </w:rPr>
        <w:t>Objet de la consultation</w:t>
      </w:r>
      <w:r>
        <w:rPr>
          <w:b/>
          <w:bCs/>
          <w:sz w:val="22"/>
          <w:szCs w:val="22"/>
          <w:u w:val="none"/>
          <w:lang w:val="fr-FR"/>
        </w:rPr>
        <w:t xml:space="preserve"> : </w:t>
      </w:r>
      <w:r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Etude </w:t>
      </w:r>
      <w:r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foncière de la zone des 50 pas géométriques (ZPG) de La Réunion </w:t>
      </w:r>
      <w:r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sur les communes de Saint-</w:t>
      </w:r>
      <w:r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Pierre et Saint-Benoît</w:t>
      </w:r>
      <w:r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.</w:t>
      </w:r>
    </w:p>
    <w:p>
      <w:pPr>
        <w:pStyle w:val="Normal"/>
        <w:bidi w:val="0"/>
        <w:snapToGrid w:val="false"/>
        <w:spacing w:before="0" w:after="0"/>
        <w:ind w:hanging="0" w:start="0" w:end="0"/>
        <w:jc w:val="both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</w:r>
    </w:p>
    <w:tbl>
      <w:tblPr>
        <w:tblW w:w="10779" w:type="dxa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242"/>
        <w:gridCol w:w="1757"/>
        <w:gridCol w:w="1479"/>
        <w:gridCol w:w="3301"/>
      </w:tblGrid>
      <w:tr>
        <w:trPr/>
        <w:tc>
          <w:tcPr>
            <w:tcW w:w="42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DDDDD" w:val="clear"/>
          </w:tcPr>
          <w:p>
            <w:pPr>
              <w:pStyle w:val="Contenudetableau"/>
              <w:bidi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Désignation / </w:t>
            </w:r>
            <w:r>
              <w:rPr>
                <w:b/>
                <w:bCs/>
                <w:sz w:val="21"/>
                <w:szCs w:val="21"/>
              </w:rPr>
              <w:t>N</w:t>
            </w:r>
            <w:r>
              <w:rPr>
                <w:b/>
                <w:bCs/>
                <w:sz w:val="21"/>
                <w:szCs w:val="21"/>
              </w:rPr>
              <w:t>ature prestation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75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DDDDD" w:val="clear"/>
          </w:tcPr>
          <w:p>
            <w:pPr>
              <w:pStyle w:val="Contenudetableau"/>
              <w:bidi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Nombre de jours estimés </w:t>
            </w:r>
          </w:p>
        </w:tc>
        <w:tc>
          <w:tcPr>
            <w:tcW w:w="147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DDDDD" w:val="clear"/>
          </w:tcPr>
          <w:p>
            <w:pPr>
              <w:pStyle w:val="Contenudetableau"/>
              <w:bidi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Prix forfaitaire HT</w:t>
            </w:r>
          </w:p>
        </w:tc>
        <w:tc>
          <w:tcPr>
            <w:tcW w:w="330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DDDDDD" w:val="clear"/>
          </w:tcPr>
          <w:p>
            <w:pPr>
              <w:pStyle w:val="Contenudetableau"/>
              <w:bidi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Informations complémentaires </w:t>
            </w:r>
          </w:p>
        </w:tc>
      </w:tr>
      <w:tr>
        <w:trPr/>
        <w:tc>
          <w:tcPr>
            <w:tcW w:w="424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Phase 1 : Recherche documentaire sur l’historique des actes de propriétés :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 xml:space="preserve">- </w:t>
            </w:r>
            <w:r>
              <w:rPr>
                <w:b w:val="false"/>
                <w:bCs w:val="false"/>
                <w:sz w:val="21"/>
                <w:szCs w:val="21"/>
              </w:rPr>
              <w:t>Réunion de démarrage / Mise au point de la méthodologie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 xml:space="preserve">1. </w:t>
            </w:r>
            <w:r>
              <w:rPr>
                <w:b w:val="false"/>
                <w:bCs w:val="false"/>
                <w:sz w:val="21"/>
                <w:szCs w:val="21"/>
              </w:rPr>
              <w:t>Etat des lieux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 xml:space="preserve">- </w:t>
            </w:r>
            <w:r>
              <w:rPr>
                <w:b w:val="false"/>
                <w:bCs w:val="false"/>
                <w:sz w:val="21"/>
                <w:szCs w:val="21"/>
              </w:rPr>
              <w:t>Document de synthèse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>2. Historique des parcelles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>- Document de synthèse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 xml:space="preserve">- </w:t>
            </w:r>
            <w:r>
              <w:rPr>
                <w:b w:val="false"/>
                <w:bCs w:val="false"/>
                <w:sz w:val="21"/>
                <w:szCs w:val="21"/>
              </w:rPr>
              <w:t>COPIL – Validation de la phase 1</w:t>
            </w:r>
          </w:p>
        </w:tc>
        <w:tc>
          <w:tcPr>
            <w:tcW w:w="17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30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/>
        <w:tc>
          <w:tcPr>
            <w:tcW w:w="424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Phase 2 : Détermination des empiétements dans la ZPG :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 xml:space="preserve">1. </w:t>
            </w:r>
            <w:r>
              <w:rPr>
                <w:b w:val="false"/>
                <w:bCs w:val="false"/>
                <w:sz w:val="21"/>
                <w:szCs w:val="21"/>
              </w:rPr>
              <w:t>Analyse cartographique des empiétements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>2.</w:t>
            </w:r>
            <w:r>
              <w:rPr>
                <w:b w:val="false"/>
                <w:bCs w:val="false"/>
                <w:sz w:val="21"/>
                <w:szCs w:val="21"/>
              </w:rPr>
              <w:t xml:space="preserve"> </w:t>
            </w:r>
            <w:r>
              <w:rPr>
                <w:b w:val="false"/>
                <w:bCs w:val="false"/>
                <w:sz w:val="21"/>
                <w:szCs w:val="21"/>
              </w:rPr>
              <w:t>Constats sur sites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 xml:space="preserve">- </w:t>
            </w:r>
            <w:r>
              <w:rPr>
                <w:b w:val="false"/>
                <w:bCs w:val="false"/>
                <w:sz w:val="21"/>
                <w:szCs w:val="21"/>
              </w:rPr>
              <w:t>Document de synthèse</w:t>
            </w:r>
          </w:p>
          <w:p>
            <w:pPr>
              <w:pStyle w:val="Contenudetableau"/>
              <w:bidi w:val="0"/>
              <w:jc w:val="both"/>
              <w:rPr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 xml:space="preserve">- </w:t>
            </w:r>
            <w:r>
              <w:rPr>
                <w:b w:val="false"/>
                <w:bCs w:val="false"/>
                <w:sz w:val="21"/>
                <w:szCs w:val="21"/>
              </w:rPr>
              <w:t>COPIL – Validation de la phase 2</w:t>
            </w:r>
          </w:p>
        </w:tc>
        <w:tc>
          <w:tcPr>
            <w:tcW w:w="17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30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/>
        <w:tc>
          <w:tcPr>
            <w:tcW w:w="424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Total HT</w:t>
            </w:r>
          </w:p>
          <w:p>
            <w:pPr>
              <w:pStyle w:val="Contenudetableau"/>
              <w:bidi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(TVA) </w:t>
            </w:r>
          </w:p>
        </w:tc>
        <w:tc>
          <w:tcPr>
            <w:tcW w:w="17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30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/>
        <w:tc>
          <w:tcPr>
            <w:tcW w:w="424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Total TTC </w:t>
            </w:r>
          </w:p>
        </w:tc>
        <w:tc>
          <w:tcPr>
            <w:tcW w:w="17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30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</w:tbl>
    <w:p>
      <w:pPr>
        <w:pStyle w:val="Normal"/>
        <w:bidi w:val="0"/>
        <w:jc w:val="star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</w:r>
    </w:p>
    <w:p>
      <w:pPr>
        <w:pStyle w:val="BodyText"/>
        <w:bidi w:val="0"/>
        <w:jc w:val="both"/>
        <w:rPr/>
      </w:pPr>
      <w:r>
        <w:rPr/>
        <w:t xml:space="preserve">Les éléments portés à ce tableau sont indicatifs et présentent le niveau minimum de détails exigés ; une décomposition plus fine pourra être proposée par le prestataire. </w:t>
      </w:r>
    </w:p>
    <w:p>
      <w:pPr>
        <w:pStyle w:val="BodyText"/>
        <w:bidi w:val="0"/>
        <w:jc w:val="both"/>
        <w:rPr/>
      </w:pPr>
      <w:r>
        <w:rPr/>
        <w:t>Les prix dans le tableau ci-dessus sont forfaitaires. Ces prix s'</w:t>
      </w:r>
      <w:r>
        <w:rPr/>
        <w:t>en</w:t>
      </w:r>
      <w:r>
        <w:rPr/>
        <w:t>tendent tous frais inclus selon la prestation.</w:t>
      </w:r>
    </w:p>
    <w:p>
      <w:pPr>
        <w:pStyle w:val="BodyText"/>
        <w:bidi w:val="0"/>
        <w:jc w:val="star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bidi w:val="0"/>
        <w:spacing w:before="0" w:after="120"/>
        <w:ind w:hanging="0" w:start="4290" w:end="0"/>
        <w:jc w:val="start"/>
        <w:rPr/>
      </w:pPr>
      <w:r>
        <w:rPr/>
        <w:t>Fait à …....…………….........</w:t>
      </w:r>
    </w:p>
    <w:p>
      <w:pPr>
        <w:pStyle w:val="BodyText"/>
        <w:bidi w:val="0"/>
        <w:spacing w:before="0" w:after="120"/>
        <w:ind w:hanging="0" w:start="4290" w:end="0"/>
        <w:jc w:val="start"/>
        <w:rPr/>
      </w:pPr>
      <w:r>
        <w:rPr/>
        <w:t>Le...........................…............</w:t>
      </w:r>
    </w:p>
    <w:p>
      <w:pPr>
        <w:pStyle w:val="BodyText"/>
        <w:bidi w:val="0"/>
        <w:spacing w:before="0" w:after="120"/>
        <w:ind w:hanging="0" w:start="4290" w:end="0"/>
        <w:jc w:val="start"/>
        <w:rPr/>
      </w:pPr>
      <w:r>
        <w:rPr/>
        <w:t xml:space="preserve">Signature du </w:t>
      </w:r>
      <w:r>
        <w:rPr/>
        <w:t>mandataire</w:t>
      </w:r>
      <w:r>
        <w:rPr/>
        <w:t xml:space="preserve"> </w:t>
      </w:r>
    </w:p>
    <w:p>
      <w:pPr>
        <w:pStyle w:val="BodyText"/>
        <w:bidi w:val="0"/>
        <w:spacing w:before="0" w:after="120"/>
        <w:ind w:hanging="0" w:start="4290" w:end="0"/>
        <w:jc w:val="start"/>
        <w:rPr/>
      </w:pPr>
      <w:r>
        <w:rPr/>
      </w:r>
    </w:p>
    <w:p>
      <w:pPr>
        <w:pStyle w:val="BodyText"/>
        <w:bidi w:val="0"/>
        <w:spacing w:before="0" w:after="120"/>
        <w:ind w:hanging="0" w:start="4290" w:end="0"/>
        <w:jc w:val="start"/>
        <w:rPr/>
      </w:pPr>
      <w:r>
        <w:rPr/>
      </w:r>
    </w:p>
    <w:sectPr>
      <w:type w:val="nextPage"/>
      <w:pgSz w:w="11906" w:h="16838"/>
      <w:pgMar w:left="567" w:right="567" w:gutter="0" w:header="0" w:top="567" w:footer="0" w:bottom="567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miri">
    <w:charset w:val="00" w:characterSet="windows-1252"/>
    <w:family w:val="auto"/>
    <w:pitch w:val="variable"/>
  </w:font>
  <w:font w:name="Cambria"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242</Words>
  <Characters>1402</Characters>
  <CharactersWithSpaces>1622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